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78C" w:rsidRDefault="0096439F" w:rsidP="0096439F">
      <w:pPr>
        <w:pStyle w:val="Title"/>
        <w:pBdr>
          <w:bottom w:val="dotted" w:sz="24" w:space="1" w:color="auto"/>
        </w:pBdr>
        <w:jc w:val="center"/>
      </w:pPr>
      <w:r>
        <w:t>Budget speech – 2025 proposing amendments for fiscal year 2025-26 (applicable for AY 2025-26)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429"/>
        <w:gridCol w:w="1963"/>
        <w:gridCol w:w="2040"/>
        <w:gridCol w:w="600"/>
      </w:tblGrid>
      <w:tr w:rsidR="00BF3717" w:rsidRPr="005258EC" w:rsidTr="00B173F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b/>
                <w:bCs/>
              </w:rPr>
            </w:pPr>
            <w:r w:rsidRPr="005258EC">
              <w:rPr>
                <w:rFonts w:ascii="Tahoma" w:hAnsi="Tahoma" w:cs="Tahoma"/>
                <w:b/>
                <w:bCs/>
              </w:rPr>
              <w:t>Proposal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b/>
                <w:bCs/>
              </w:rPr>
            </w:pPr>
            <w:r w:rsidRPr="005258EC">
              <w:rPr>
                <w:rFonts w:ascii="Tahoma" w:hAnsi="Tahoma" w:cs="Tahoma"/>
                <w:b/>
                <w:bCs/>
              </w:rPr>
              <w:t>Key Details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b/>
                <w:bCs/>
              </w:rPr>
            </w:pPr>
            <w:r w:rsidRPr="005258E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b/>
                <w:bCs/>
              </w:rPr>
            </w:pPr>
            <w:r w:rsidRPr="005258EC">
              <w:rPr>
                <w:rFonts w:ascii="Tahoma" w:hAnsi="Tahoma" w:cs="Tahoma"/>
                <w:b/>
                <w:bCs/>
              </w:rPr>
              <w:t>Action for Taxpayers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b/>
                <w:bCs/>
              </w:rPr>
            </w:pPr>
            <w:r w:rsidRPr="005258EC">
              <w:rPr>
                <w:rFonts w:ascii="Tahoma" w:hAnsi="Tahoma" w:cs="Tahoma"/>
                <w:b/>
                <w:bCs/>
              </w:rPr>
              <w:t>Para No.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New Income-Tax Bill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New bill to simplify tax laws, reduce litigation, and provide tax certainty.</w:t>
            </w:r>
          </w:p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Will be half the size of the current law in terms of chapters and words.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Simplify tax administration and reduce compliance burden.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Taxpayers should prepare for a simplified tax regime and stay updated on new provisions.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134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TDS/TCS Rationalization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- Increase TDS threshold for senior citizens' interest income from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 xml:space="preserve">50,000 to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1 lakh.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 xml:space="preserve">- Increase TDS threshold on rent from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 xml:space="preserve">2.4 lakh to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6 lakh.</w:t>
            </w:r>
            <w:r w:rsidRPr="005258EC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- Increase TCS threshold on LRS remittances from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 xml:space="preserve">7 lakh to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10 lakh.</w:t>
            </w:r>
          </w:p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Remove TCS on education remittances from specified loans.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Reduce compliance burden for small taxpayers and ease difficulties in TDS/TCS compliance.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Senior citizens and small taxpayers should review updated thresholds to reduce TDS/TCS liabilities.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137, 138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F3717" w:rsidRPr="005258EC" w:rsidRDefault="00BF3717" w:rsidP="00B173F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Omitting TCS provisions where both TDS and TCS are applicable </w:t>
            </w:r>
          </w:p>
        </w:tc>
        <w:tc>
          <w:tcPr>
            <w:tcW w:w="0" w:type="auto"/>
            <w:vAlign w:val="center"/>
          </w:tcPr>
          <w:p w:rsidR="00BF3717" w:rsidRDefault="00BF3717" w:rsidP="00BF37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Omit TDS in cases where both TDS and TCS provisions are applicable </w:t>
            </w:r>
          </w:p>
          <w:p w:rsidR="00A45FDA" w:rsidRPr="00A45FDA" w:rsidRDefault="00A45FDA" w:rsidP="00A45F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3717" w:rsidRPr="00BF3717" w:rsidRDefault="00BF3717" w:rsidP="00BF37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Higher TDS rates are applicable in Non – PAN cases </w:t>
            </w:r>
          </w:p>
        </w:tc>
        <w:tc>
          <w:tcPr>
            <w:tcW w:w="0" w:type="auto"/>
            <w:vAlign w:val="center"/>
          </w:tcPr>
          <w:p w:rsidR="00BF3717" w:rsidRPr="005258EC" w:rsidRDefault="00BF3717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Reduce complexities </w:t>
            </w:r>
          </w:p>
        </w:tc>
        <w:tc>
          <w:tcPr>
            <w:tcW w:w="0" w:type="auto"/>
            <w:vAlign w:val="center"/>
          </w:tcPr>
          <w:p w:rsidR="00BF3717" w:rsidRPr="005258EC" w:rsidRDefault="00A45FDA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Review you TDS and TCS obligations accordingly. </w:t>
            </w:r>
          </w:p>
        </w:tc>
        <w:tc>
          <w:tcPr>
            <w:tcW w:w="0" w:type="auto"/>
            <w:vAlign w:val="center"/>
          </w:tcPr>
          <w:p w:rsidR="00BF3717" w:rsidRPr="005258EC" w:rsidRDefault="00BF3717" w:rsidP="00B17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Voluntary Compliance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Extend the time limit to file updated returns from 2 years to 4 years.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Encourage voluntary compliance and reduce litigation.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Taxpayers with omitted income should file updated returns </w:t>
            </w:r>
            <w:r w:rsidRPr="005258EC">
              <w:rPr>
                <w:rFonts w:ascii="Tahoma" w:hAnsi="Tahoma" w:cs="Tahoma"/>
                <w:sz w:val="20"/>
                <w:szCs w:val="20"/>
              </w:rPr>
              <w:lastRenderedPageBreak/>
              <w:t>within the extended timeline.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lastRenderedPageBreak/>
              <w:t>141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Reducing Compliance Burden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Increase registration period for small charitable trusts from 5 to 10 years.</w:t>
            </w:r>
          </w:p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Allow nil annual value for two self-occupied properties without conditions.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Reduce compliance burden for charitable trusts and homeowners.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Charitable trusts and homeowners should review updated provisions to reduce compliance efforts.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142, 143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Ease of Doing Business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Introduce a 3-year block period scheme for determining arm's length price in transfer pricing.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Expand safe harbour rules for international taxation.</w:t>
            </w:r>
          </w:p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Exempt withdrawals from old NSS accounts and align NPS Vatsalya with NPS rules.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Provide tax certainty and reduce litigation for businesses and individuals.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Businesses should adopt the 3-year block period scheme for transfer pricing; individuals should review NSS/NPS benefits.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144, 145, 146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Digitalization of Tax Processes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Digitalize all tax processes, including appellate orders, over the next 2 years.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Promote paperless and efficient tax administration.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Taxpayers should prepare for digital compliance and utilize online platforms for tax processes.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Vivad</w:t>
            </w:r>
            <w:proofErr w:type="spellEnd"/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 Vishwas Scheme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Nearly 33,000 taxpayers have settled disputes under the scheme.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Resolve pending tax disputes and reduce litigation.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Taxpayers with pending disputes should consider settling under the </w:t>
            </w:r>
            <w:proofErr w:type="spellStart"/>
            <w:r w:rsidRPr="005258EC">
              <w:rPr>
                <w:rFonts w:ascii="Tahoma" w:hAnsi="Tahoma" w:cs="Tahoma"/>
                <w:sz w:val="20"/>
                <w:szCs w:val="20"/>
              </w:rPr>
              <w:t>Vivad</w:t>
            </w:r>
            <w:proofErr w:type="spellEnd"/>
            <w:r w:rsidRPr="005258EC">
              <w:rPr>
                <w:rFonts w:ascii="Tahoma" w:hAnsi="Tahoma" w:cs="Tahoma"/>
                <w:sz w:val="20"/>
                <w:szCs w:val="20"/>
              </w:rPr>
              <w:t xml:space="preserve"> Se Vishwas Scheme.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Employment and Investment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- Introduce presumptive taxation for non-residents servicing electronics manufacturing units.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Extend tonnage tax scheme to inland vessels.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 xml:space="preserve">- Extend start-up </w:t>
            </w:r>
            <w:r w:rsidRPr="005258EC">
              <w:rPr>
                <w:rFonts w:ascii="Tahoma" w:hAnsi="Tahoma" w:cs="Tahoma"/>
                <w:sz w:val="20"/>
                <w:szCs w:val="20"/>
              </w:rPr>
              <w:lastRenderedPageBreak/>
              <w:t>incorporation period to 1.4.2030.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Extend IFSC benefits to 31.3.2030.</w:t>
            </w:r>
          </w:p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Provide tax certainty for AIFs.</w:t>
            </w:r>
          </w:p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br/>
              <w:t>- Extend investment date for Sovereign and Pension Funds to 31.3.2030.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lastRenderedPageBreak/>
              <w:t>Promote investment, employment, and infrastructure development.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Start-ups, AIFs, and investors should leverage extended timelines and tax benefits for growth.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149-155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Personal Income Tax Reforms</w:t>
            </w:r>
          </w:p>
        </w:tc>
        <w:tc>
          <w:tcPr>
            <w:tcW w:w="0" w:type="auto"/>
            <w:vAlign w:val="center"/>
            <w:hideMark/>
          </w:tcPr>
          <w:p w:rsidR="0096439F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- Increase tax-free income limit to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12 lakh (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12.75 lakh for salaried with standard deduction).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7"/>
              <w:gridCol w:w="891"/>
            </w:tblGrid>
            <w:tr w:rsidR="0096439F" w:rsidRPr="0096439F" w:rsidTr="0096439F">
              <w:trPr>
                <w:trHeight w:val="46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96439F">
                    <w:rPr>
                      <w:rFonts w:ascii="Tahoma" w:hAnsi="Tahoma" w:cs="Tahoma"/>
                      <w:b/>
                      <w:bCs/>
                    </w:rPr>
                    <w:t>Income slab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96439F">
                    <w:rPr>
                      <w:rFonts w:ascii="Tahoma" w:hAnsi="Tahoma" w:cs="Tahoma"/>
                      <w:b/>
                      <w:bCs/>
                    </w:rPr>
                    <w:t>Tax Rate</w:t>
                  </w:r>
                </w:p>
              </w:tc>
            </w:tr>
            <w:tr w:rsidR="0096439F" w:rsidRPr="0096439F" w:rsidTr="0096439F">
              <w:trPr>
                <w:trHeight w:val="46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0-4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Nil</w:t>
                  </w:r>
                </w:p>
              </w:tc>
            </w:tr>
            <w:tr w:rsidR="0096439F" w:rsidRPr="0096439F" w:rsidTr="0096439F">
              <w:trPr>
                <w:trHeight w:val="45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4-8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5 per cent</w:t>
                  </w:r>
                </w:p>
              </w:tc>
            </w:tr>
            <w:tr w:rsidR="0096439F" w:rsidRPr="0096439F" w:rsidTr="0096439F">
              <w:trPr>
                <w:trHeight w:val="46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8-12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10 per cent</w:t>
                  </w:r>
                </w:p>
              </w:tc>
            </w:tr>
            <w:tr w:rsidR="0096439F" w:rsidRPr="0096439F" w:rsidTr="0096439F">
              <w:trPr>
                <w:trHeight w:val="45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12-16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15 per cent</w:t>
                  </w:r>
                </w:p>
              </w:tc>
            </w:tr>
            <w:tr w:rsidR="0096439F" w:rsidRPr="0096439F" w:rsidTr="0096439F">
              <w:trPr>
                <w:trHeight w:val="468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16-20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20 per cent</w:t>
                  </w:r>
                </w:p>
              </w:tc>
            </w:tr>
            <w:tr w:rsidR="0096439F" w:rsidRPr="0096439F" w:rsidTr="0096439F">
              <w:trPr>
                <w:trHeight w:val="244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20- 24 lak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25 per cent</w:t>
                  </w:r>
                </w:p>
              </w:tc>
            </w:tr>
            <w:tr w:rsidR="0096439F" w:rsidRPr="0096439F" w:rsidTr="0096439F">
              <w:trPr>
                <w:trHeight w:val="244"/>
                <w:jc w:val="center"/>
              </w:trPr>
              <w:tc>
                <w:tcPr>
                  <w:tcW w:w="1383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Above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sz w:val="16"/>
                      <w:szCs w:val="16"/>
                    </w:rPr>
                    <w:t>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24 lakh</w:t>
                  </w:r>
                </w:p>
              </w:tc>
              <w:tc>
                <w:tcPr>
                  <w:tcW w:w="917" w:type="dxa"/>
                  <w:vAlign w:val="center"/>
                </w:tcPr>
                <w:p w:rsidR="0096439F" w:rsidRPr="0096439F" w:rsidRDefault="0096439F" w:rsidP="0096439F">
                  <w:pPr>
                    <w:spacing w:after="120" w:line="320" w:lineRule="exac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6439F">
                    <w:rPr>
                      <w:rFonts w:ascii="Tahoma" w:hAnsi="Tahoma" w:cs="Tahoma"/>
                      <w:sz w:val="16"/>
                      <w:szCs w:val="16"/>
                    </w:rPr>
                    <w:t>30 per cent</w:t>
                  </w:r>
                </w:p>
              </w:tc>
            </w:tr>
          </w:tbl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Reduce tax burden on the middle class, boost consumption, savings, and investment.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Taxpayers should calculate their tax liability under the new slabs and plan finances accordingly.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156-160</w:t>
            </w:r>
          </w:p>
        </w:tc>
      </w:tr>
      <w:tr w:rsidR="00BF3717" w:rsidRPr="005258EC" w:rsidTr="00B173F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b/>
                <w:bCs/>
                <w:sz w:val="20"/>
                <w:szCs w:val="20"/>
              </w:rPr>
              <w:t>Revenue Impact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 xml:space="preserve">- Revenue forgone: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 xml:space="preserve">1 lakh crore (direct taxes) and </w:t>
            </w:r>
            <w:r w:rsidRPr="005258EC">
              <w:rPr>
                <w:rFonts w:ascii="Cambria Math" w:hAnsi="Cambria Math" w:cs="Cambria Math"/>
                <w:sz w:val="20"/>
                <w:szCs w:val="20"/>
              </w:rPr>
              <w:t>₹</w:t>
            </w:r>
            <w:r w:rsidRPr="005258EC">
              <w:rPr>
                <w:rFonts w:ascii="Tahoma" w:hAnsi="Tahoma" w:cs="Tahoma"/>
                <w:sz w:val="20"/>
                <w:szCs w:val="20"/>
              </w:rPr>
              <w:t>2,600 crore (indirect taxes).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Provide relief to taxpayers while maintaining fiscal discipline.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964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Taxpayers should utilize the tax benefits to improve disposable income and savings.</w:t>
            </w:r>
          </w:p>
        </w:tc>
        <w:tc>
          <w:tcPr>
            <w:tcW w:w="0" w:type="auto"/>
            <w:vAlign w:val="center"/>
            <w:hideMark/>
          </w:tcPr>
          <w:p w:rsidR="0096439F" w:rsidRPr="005258EC" w:rsidRDefault="0096439F" w:rsidP="00B173F9">
            <w:pPr>
              <w:rPr>
                <w:rFonts w:ascii="Tahoma" w:hAnsi="Tahoma" w:cs="Tahoma"/>
                <w:sz w:val="20"/>
                <w:szCs w:val="20"/>
              </w:rPr>
            </w:pPr>
            <w:r w:rsidRPr="005258EC">
              <w:rPr>
                <w:rFonts w:ascii="Tahoma" w:hAnsi="Tahoma" w:cs="Tahoma"/>
                <w:sz w:val="20"/>
                <w:szCs w:val="20"/>
              </w:rPr>
              <w:t>161</w:t>
            </w:r>
          </w:p>
        </w:tc>
      </w:tr>
    </w:tbl>
    <w:p w:rsidR="0096439F" w:rsidRPr="0096439F" w:rsidRDefault="0096439F" w:rsidP="0096439F"/>
    <w:sectPr w:rsidR="0096439F" w:rsidRPr="00964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31F55"/>
    <w:multiLevelType w:val="hybridMultilevel"/>
    <w:tmpl w:val="F2AE7D64"/>
    <w:lvl w:ilvl="0" w:tplc="59544A90">
      <w:start w:val="20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01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9F"/>
    <w:rsid w:val="00163D3B"/>
    <w:rsid w:val="001A491B"/>
    <w:rsid w:val="002767EC"/>
    <w:rsid w:val="003257B3"/>
    <w:rsid w:val="0096439F"/>
    <w:rsid w:val="00A45FDA"/>
    <w:rsid w:val="00BF3717"/>
    <w:rsid w:val="00D7378C"/>
    <w:rsid w:val="00E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4605"/>
  <w15:chartTrackingRefBased/>
  <w15:docId w15:val="{43BB7D37-D154-4E7A-912F-45CF4913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3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3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3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3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3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6439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sewak das</dc:creator>
  <cp:keywords/>
  <dc:description/>
  <cp:lastModifiedBy>sewak das</cp:lastModifiedBy>
  <cp:revision>3</cp:revision>
  <dcterms:created xsi:type="dcterms:W3CDTF">2025-02-01T11:26:00Z</dcterms:created>
  <dcterms:modified xsi:type="dcterms:W3CDTF">2025-02-01T11:37:00Z</dcterms:modified>
</cp:coreProperties>
</file>